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254</w:t>
      </w:r>
    </w:p>
    <w:p>
      <w:r>
        <w:t>Bundesgericht (BGE), 2017-01-01, DE</w:t>
      </w:r>
    </w:p>
    <w:p>
      <w:r>
        <w:rPr>
          <w:b/>
        </w:rPr>
        <w:t xml:space="preserve">Quelle: </w:t>
      </w:r>
      <w:r>
        <w:t>https://mcp.opencaselaw.ch/entscheid/bge_143 III 254</w:t>
      </w:r>
    </w:p>
    <w:p>
      <w:r>
        <w:t>FR: ATF 143 III 254</w:t>
      </w:r>
    </w:p>
    <w:p>
      <w:r>
        <w:t>IT: DTF 143 III 254</w:t>
      </w:r>
    </w:p>
    <w:p>
      <w:pPr>
        <w:pStyle w:val="Heading2"/>
      </w:pPr>
      <w:r>
        <w:t>Regeste</w:t>
      </w:r>
    </w:p>
    <w:p>
      <w:r>
        <w:t>Regeste Art. 86 ZPO; Teilklage; Streitgegenstand; Bestimmtheit des Rechtsbegehrens. Der Kläger kann einen quantitativen Teil seines gesamten aus einer Körperverletzung sich ergebenden Schadens einklagen (E. 3).</w:t>
      </w:r>
    </w:p>
    <w:p>
      <w:pPr>
        <w:pStyle w:val="Heading2"/>
      </w:pPr>
      <w:r>
        <w:t>Erwägungen</w:t>
      </w:r>
    </w:p>
    <w:p>
      <w:r>
        <w:rPr>
          <w:b/>
        </w:rPr>
        <w:t>E. 3</w:t>
      </w:r>
    </w:p>
    <w:p>
      <w:r>
        <w:t>Die Beklagte (4A_26/2017) rügt zunächst, die Vorinstanz sei zu Unrecht auf die Klage eingetreten, denn die Teilklage verletze das Bestimmtheitsgebot.</w:t>
      </w:r>
    </w:p>
    <w:p>
      <w:r>
        <w:rPr>
          <w:b/>
        </w:rPr>
        <w:t>E. 3.1</w:t>
      </w:r>
    </w:p>
    <w:p>
      <w:r>
        <w:t>Der Kläger stellt ein Rechtsbegehren auf eine Geldleistung. Dieses Begehren ist für sich nicht individualisierend und kann daher mehrere Streitgegenstände umfassen, was den Bestimmtheitsanforderungen nicht genügt ( BGE 142 III 683 E. 5 S. 686 ff.). Dies trifft BGE 143 III 254 S. 257 freilich nur zu, wenn damit Forderungen aus unterschiedlichen Lebenssachverhalten eingeklagt werden, bestimmt sich doch der Streitgegenstand nach den Begehren und dem zugrunde liegenden Lebenssachverhalt (vgl. BGE 142 III 210 E. 2.1 S. 212 f.; BGE 139 III 126 E. 3.2.3 S. 131). Bei nicht individualisierenden Rechtsbegehren gibt daher der Lebenssachverhalt, d.h. das Tatsachenfundament, auf das sich das Rechtsbegehren stützt, Aufschluss darüber, ob es sich beim fraglichen Rechtsbegehren letztlich um einen einzelnen Streitgegenstand handelt oder - wenn auch zusammengefasst in einem Rechtsbegehren - mehrere Streitgegenstände zur Beurteilung vorgelegt werden ( BGE 142 III 683 E. 5.3.1 S. 687 mit Hinweisen).</w:t>
      </w:r>
    </w:p>
    <w:p>
      <w:r>
        <w:rPr>
          <w:b/>
        </w:rPr>
        <w:t>E. 3.2</w:t>
      </w:r>
    </w:p>
    <w:p>
      <w:r>
        <w:t>Ob der Kläger bei teilbarem Leistungsbegehren mit dem behaupteten Lebenssachverhalt aus objektiver Sicht mehrere Streitgegenstände zur Beurteilung stellt, beurteilt sich auch mit Rücksicht auf das materielle Recht. Denn die rechtserheblichen Tatsachen, welche die beanspruchten Leistungen begründen, sind materiellrechtlich bestimmt und beeinflussen damit die Identität des Streitgegenstandes. So gilt im Haftpflichtrecht herkömmlicherweise als Voraussetzung von Ansprüchen des Geschädigten der Schaden, die Widerrechtlichkeit, der adäquate Kausalzusammenhang zwischen schädigender Handlung und Schaden sowie das Verschulden ( BGE 137 III 539 E. 5.2 S. 544 mit Verweisen). Allerdings weisen neuere Lehrmeinungen darauf hin, dass damit der haftungsbegründende Tatbestand von den Haftungsfolgen nicht eigentlich abgegrenzt wird. Während die Rechtswidrigkeit, die Rechtsgutverletzung, der adäquate Kausalzusammenhang zwischen rechtswidriger Handlung und Rechtsgutverletzung sowie das Verschulden die Haftung begründen, gehört systematisch der zu ersetzende Schaden zu den Folgen dieser Verletzung (vgl. FELLMANN/KOTTMANN, Schweizerisches Haftpflichtrecht, Bd. I, 2012, S. 25 Rz. 63 f.; VITO ROBERTO, Haftpflichtrecht, 2013, S. 21 ff. Rz. 03.04 ff.).</w:t>
      </w:r>
    </w:p>
    <w:p>
      <w:r>
        <w:rPr>
          <w:b/>
        </w:rPr>
        <w:t>E. 3.3</w:t>
      </w:r>
    </w:p>
    <w:p>
      <w:r>
        <w:t>Besteht die Rechtsgutverletzung in einer Körperverletzung, so ist diese an sich noch kein Schaden im Rechtssinne ( BGE 127 III 403 E. 4a S. 405). Vielmehr kann der Geschädigte gegen die Haftpflichtige den Ersatz von Schaden geltend machen, der durch eine widerrechtliche Körperverletzung adäquat kausal (schuldhaft) verursacht worden ist, namentlich die Heilungskosten und Nachteile aus Arbeitsunfähigkeit ( Art. 46 OR ) sowie immaterielle Unbill ( Art. 47 OR ). Dabei werden in Rechtsprechung (vgl. etwa BGE 132 III 321 E. 2.2.1 S. 323; BGE 131 III 360 E. 5.1 S. 363, E. 8.1 S. 369 mit BGE 143 III 254 S. 258 Hinweisen) und Lehre mögliche Schäden unterschiedlich zusammengefasst etwa in Kosten (Aufwendungen zur Behebung oder Einschränkung der Körperschädigung), Erwerbsausfall infolge temporärer oder künftiger Arbeitsunfähigkeit, Erschwerung des wirtschaftlichen Fortkommens, Einschränkung in der Haushaltführung, Verlust von Rente (nach alter Praxis Teil des Erwerbsausfalls) sowie Kosten für Pflege- und Betreuungsaufwand (vgl. nur ROLAND BREHM, Berner Kommentar, 4. Aufl. 2013, N. 7 ff. zu Art. 46 OR , FELLMANN/KOTTMANN, a.a.O., S. 74 ff. Rz. 191 ff.; ROBERTO, a.a.O., S. 206 ff. Rz. 27.21 ff.). Für immateriellen Schaden kann der Geschädigte unter Umständen ausserdem einen Anspruch auf Genugtuung ableiten ( Art. 47 OR ). Die beiden Bestimmungen gehören aufgrund der Regelungsmaterie zusammen (vgl. BGE 131 III 430 E. 1.1 S. 433; BGE 122 III 5 E. 2d S. 9), Schadenersatz und Genugtuung werden grundsätzlich infolge Selbstverschuldens auch in gleichem Ausmass gekürzt ( BGE 117 II 50 4a/bb S. 60; BGE 116 II 733 E. 4g) bzw. bei Kausalhaftungen gleichermassen zugesprochen ( BGE 126 III 161 E. 5b/aa S. 167; BGE 117 II 50 E. 3a S. 56; BGE 112 II 220 E. 2f S. 225). Im Rahmen der eingeklagten Forderung auf Ersatz des Gesamtschadens aus einer Körperverletzung können denn auch sämtliche Schadenersatz- und Genugtuungspositionen unbesehen ihrer selbständigen Bezifferung ohne Verletzung der Dispositionsmaxime zugesprochen werden ( BGE 63 II 339 E. 4 S. 346; vgl. auch BGE 123 III 115 E. 6d S. 119; BGE 119 II 396 E. 2).</w:t>
      </w:r>
    </w:p>
    <w:p>
      <w:r>
        <w:rPr>
          <w:b/>
        </w:rPr>
        <w:t>E. 3.4</w:t>
      </w:r>
    </w:p>
    <w:p>
      <w:r>
        <w:t>Wird aus einer gesamten Geldforderung gestützt auf Art. 86 ZPO nur ein Teil geltend gemacht, unterscheidet die Lehre zwischen echter und unechter Teilklage. Mit der echten Teilklage wird ein quantitativer Teilbetrag aus dem gesamten Anspruch eingeklagt, bei der unechten Teilklage beansprucht die klagende Partei einen individualisierbaren Anspruch des Gesamtbetrages (vgl. etwa ALEXANDER MARKUS, in: Berner Kommentar, Schweizerische Zivilprozessordnung, Bd. I, 2012, N. 2 f. zu Art. 86 ZPO ; PAUL OBERHAMMER, in: ZPO, Oberhammer und andere [Hrsg.], 2. Aufl. 2014, N. 2 ff. zu Art. 86 ZPO , BOPP/BESSENICH, in: Kommentar zur Schweizerischen Zivilprozessordnung [ZPO], Sutter-Somm und andere [Hrsg.], 3. Aufl. 2016, N. 4 f. zu Art. 86 ZPO ; DANIEL FÜLLEMANN, in: Schweizerische Zivilprozessordnung [ZPO], Brunner und andere [Hrsg.], Bd. I, 2. Aufl. 2016, N. 3 zu Art. 86 ZPO ; KARL SPÜHLER, in: Basler Kommentar, Schweizerische Zivilprozessordnung, 2. Aufl. 2013, N. 5 zu Art. 86 ZPO , FABIENNE HOHL, Procédure civile, Bd. I, 2. Aufl. 2016, BGE 143 III 254 S. 259 Rz. 506/509; FRANÇOIS BOHNET, in: Code de procédure civile commenté, Bohnet und andere [Hrsg.], 2011, N. 7 ff. zu Art. 86 ZPO ). Während der Kläger aufgrund der Dispositionsmaxime ohne weiteres befugt - aber nicht verpflichtet - ist, nur einen von mehreren individualisierbaren Ansprüchen des Gesamtschadens einzuklagen, sind Teilklagen nicht hinreichend individualisiert, wenn sie auf mehreren unterschiedlichen Lebenssachverhalten gründen und daher eigentlich objektiv gehäufte Rechtsbegehren umfassen ( BGE 142 III 683 E. 5.3.1 S. 687). Der Kläger kann nicht gültig einen Teil von Forderungen aus mehreren unterschiedlichen Lebensvorgängen einklagen - mindestens nicht ohne klare Angabe der Reihenfolge ( BGE 142 III 683 E. 5.1 und E. 5.4; LORENZ DROESE, Res iudicata ius facit, 2015, S. 347). Der einheitliche Lebensvorgang, der das Klagefundament bildet, muss daher aus objektiver Sicht bestimmt werden. Ob der Kläger den Streitgegenstand verlässt oder bloss unterschiedliche Ansprüche gestützt auf denselben Lebenssachverhalt einklagt, wenn er mehrere Schadenspositionen aus demselben schadensstiftenden Ereignis, namentlich demselben Unfall ableitet, ist in der Lehre umstritten (vgl. etwa STEPHEN V. BERTI, Zur Teilklage nach Art. 86 ZPO , in: Haftpflichtprozess, Fellmann/Weber [Hrsg.], 2010, S. 43; MEIER/WIGET, Klage und Rechtskraft im Haftpflichtprozess, in: Haftpflichtprozess, Fellmann/Weber [Hrsg.], 2006, S. 92; BREHM, a.a.O., N. 151b zu Art. 46 OR ).</w:t>
      </w:r>
    </w:p>
    <w:p>
      <w:r>
        <w:rPr>
          <w:b/>
        </w:rPr>
        <w:t>E. 3.5</w:t>
      </w:r>
    </w:p>
    <w:p>
      <w:r>
        <w:t>Die Annahme, es würden mit jeder Schadensposition selbständige Ersatzforderungen in objektiver Klagenhäufung eingeklagt, würde voraussetzen, dass die einzelnen Schadensarten in jedem Fall objektiv voneinander abgegrenzt und konkret definiert werden könnten. Dies trifft nicht zu. So wird z.B. der Schaden aus bereits entstandenem Erwerbsausfall in der Lehre vom künftigem Erwerbsausfallschaden unterschieden und die beiden Schäden werden auch unterschiedlich berechnet. Die unterschiedliche Berechnung hängt indes vom Zufall des massgebenden Novenschlusses ab und qualitativ ist der Schaden aus Erwerbsausfall derselbe, ob er vor dem massgebenden Urteilszeitpunkt entstanden oder später zu erwarten ist. Zur Bestimmung des mutmasslich ohne Unfall erzielten Erwerbseinkommens muss unter Umständen auch hypothetischen Veränderungen Rechnung getragen werden; die Art des Erwerbsausfallschadens verändert sich jedoch auch bei Änderung der Verhältnisse nicht je nach Zeitabschnitt und es ist dem Kläger nicht zumutbar, bei hypothetischen Änderungen für jede Periode seines Erwerbsverlusts BGE 143 III 254 S. 260 eine eigene Klage einzureichen. Es ist auch nicht ausgeschlossen, dass der hypothetische Verlust aus Erwerbseinkommen mit einem möglichen Haushaltschaden insoweit zusammenhängt, als bei Reduktion des Erwerbspensums der Umfang der Tätigkeit im Haushalt ausgeweitet worden wäre. Sind mehrere Hypothesen umstritten, ist weder den Parteien noch dem Gericht zumutbar, separate Klagen zu koordinieren. Die Definition eigenständiger "Schadenspositionen" aus einer Körperverletzung ist objektiv nicht eindeutig möglich und die separate Beurteilung jeder eigenen Schadensposition nicht praktikabel, weshalb dem Kläger nicht zumutbar ist, seine (Teil-) Klage auf einzelne "Positionen" zu beschränken, um den Streitgegenstand nicht zu verlassen.</w:t>
      </w:r>
    </w:p>
    <w:p>
      <w:r>
        <w:rPr>
          <w:b/>
        </w:rPr>
        <w:t>E. 3.6</w:t>
      </w:r>
    </w:p>
    <w:p>
      <w:r>
        <w:t>Der Kläger kann einen quantitativen Teil seines gesamten aus einer Körperverletzung sich ergebenden Schadens einklagen, ohne dass er seine Klage auf bestimmte Schadenspositionen beschränken müsste. Wenn er eine echte Teilklage - unter Vorbehalt der Nachklage - erhebt, so verlässt er vielmehr den Streitgegenstand nicht, wenn er mehrere unterschiedliche Schadenspositionen und Genugtuung aus demselben Unfallereignis einklagt - zumal die Bezifferung einzelner Positionen unter Umständen vom Verhältnis zu anderen Positionen abhängt und im Rahmen der Dispositionsmaxime allein der eingeklagte Gesamtbetrag verbindlich ist. Durch eine zwingende Aufteilung des Gesamtschadens aus Körperverletzung in einzelne Schadenspositionen würde im Gegenteil der einheitliche Lebenssachverhalt der erlittenen Körperverletzung mit entsprechenden wirtschaftlichen Folgen künstlich reduziert und eine in der Regel erwünschte Gesamtbeurteilung erschwert. Auch wenn daher die einzelnen Schadenspositionen zusätzlicher Tatsachenelemente bedürfen, verändert sich der Streitgegenstand nicht. Der massgebende Lebenssachverhalt bleibt das Unfallereignis mit Körperverletzung, auch wenn dieser Lebenssachverhalt zur Begründung der einzelnen Schadenspositionen erweitert werden muss. Das Interesse der Gegenpartei steht dem nicht entgegen. Denn der Kläger muss selbstverständlich jede einzelne Schadensposition gehörig so substanziieren, dass die Gegenpartei dazu sachgemäss Stellung nehmen kann und das Gericht erkennt, worüber abzusprechen ist. Erhebt der Kläger eine echte Teilklage im Rahmen des Gesamtschadens, trägt er im Falle mangelhafter Substanziierung das Risiko rechtskräftiger Abweisung mehrerer Schadenspositionen. BGE 143 III 254 S. 261</w:t>
      </w:r>
    </w:p>
    <w:p>
      <w:r>
        <w:rPr>
          <w:b/>
        </w:rPr>
        <w:t>E. 3.7</w:t>
      </w:r>
    </w:p>
    <w:p>
      <w:r>
        <w:t>Der Kläger leitet sämtliche Ansprüche auf Geldleistung gegen die Beklagte aus dem Strassenverkehrsunfall vom 17. März 1994 ab. Dieser Lebenssachverhalt begründet die Haftung der Beklagten für sämtliche vom Kläger beanspruchten Schadenersatz- und Genugtuungsansprüche. Dass der Kläger infolge des Unfalls Vermögenseinbussen unterschiedlicher Art erlitten hat und zum Ersatz beansprucht, verändert dieses Tatsachenfundament im Lebenssachverhalt nicht. Zwar muss der Kläger zur Begründung seines Anspruchs auf Geldleistung auch den Schaden beweisen ( Art. 42 Abs. 1 OR ) und zu diesem Zweck weitere Tatsachenelemente behaupten, um seine Klage hinreichend zu substanziieren (zur Substanziierung im Rahmen der richterlichen Schadensschätzung nach Art. 42 Abs. 2 OR bei ziffernmässig nicht nachweisbarem Schaden: BGE 140 III 409 E. 4.3.1; BGE 131 III 360 E. 5.1; BGE 128 III 271 E. 2b/aa S. 276 f.; BGE 122 III 219 E. 3a). Er muss insofern den Sachverhalt erweitern. Diese notwendige Erweiterung führt indes nicht dazu, dass er seine Forderungen aus einem anderen Lebenssachverhalt als dem Unfall vom 17. März 1994 ableiten und sie damit letztlich auf einen anderen Lebenssachverhalt gründen würde als auf die damals erlittene Körperverletzung. Die Teilklage des Klägers hat, wie sich aus dem Rechtsbegehren ergibt, Schadenersatz und Genugtuung "aus dem Unfall vom 17. März 1994" zum Gegenstand. Sie umfasst entgegen der Ansicht der Beklagten nicht mehrere Streitgegenstände. Das Rechtsbegehren genügt demnach den Bestimmtheitsanforderungen der ZPO, weshalb die Vorinstanz zu Recht auf die Klage eingetreten ist.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